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3C99" w14:textId="77777777" w:rsidR="00FF6E42" w:rsidRDefault="00FF6E42" w:rsidP="009B53A4">
      <w:pPr>
        <w:jc w:val="center"/>
        <w:rPr>
          <w:rFonts w:asciiTheme="minorHAnsi" w:hAnsiTheme="minorHAnsi"/>
          <w:b/>
          <w:sz w:val="32"/>
          <w:szCs w:val="32"/>
        </w:rPr>
      </w:pPr>
    </w:p>
    <w:p w14:paraId="2955943F" w14:textId="77777777" w:rsidR="00FF6E42" w:rsidRDefault="00FF6E42" w:rsidP="009B53A4">
      <w:pPr>
        <w:jc w:val="center"/>
        <w:rPr>
          <w:rFonts w:asciiTheme="minorHAnsi" w:hAnsiTheme="minorHAnsi"/>
          <w:b/>
          <w:sz w:val="32"/>
          <w:szCs w:val="32"/>
        </w:rPr>
      </w:pPr>
      <w:r w:rsidRPr="006E5527">
        <w:rPr>
          <w:rFonts w:eastAsia="MS ????" w:cs="Times New Roman"/>
          <w:noProof/>
          <w:color w:val="17365D"/>
          <w:spacing w:val="5"/>
          <w:kern w:val="28"/>
          <w:sz w:val="20"/>
          <w:szCs w:val="20"/>
          <w:lang w:eastAsia="en-GB"/>
        </w:rPr>
        <w:drawing>
          <wp:anchor distT="0" distB="0" distL="114300" distR="114300" simplePos="0" relativeHeight="251659264" behindDoc="1" locked="0" layoutInCell="1" allowOverlap="1" wp14:anchorId="331D72A4" wp14:editId="0BC3BD0C">
            <wp:simplePos x="0" y="0"/>
            <wp:positionH relativeFrom="column">
              <wp:posOffset>4509135</wp:posOffset>
            </wp:positionH>
            <wp:positionV relativeFrom="paragraph">
              <wp:posOffset>93980</wp:posOffset>
            </wp:positionV>
            <wp:extent cx="1206500" cy="939800"/>
            <wp:effectExtent l="0" t="0" r="0" b="0"/>
            <wp:wrapTight wrapText="bothSides">
              <wp:wrapPolygon edited="0">
                <wp:start x="0" y="0"/>
                <wp:lineTo x="0" y="21016"/>
                <wp:lineTo x="21145" y="21016"/>
                <wp:lineTo x="21145" y="0"/>
                <wp:lineTo x="0" y="0"/>
              </wp:wrapPolygon>
            </wp:wrapTight>
            <wp:docPr id="3" name="Picture 3" descr="Macintosh HD:Users:chrisfleetwood:Dropbox:2013 Clients:Dudley Building Scoiety:dudley bs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fleetwood:Dropbox:2013 Clients:Dudley Building Scoiety:dudley bs logo 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6500" cy="939800"/>
                    </a:xfrm>
                    <a:prstGeom prst="rect">
                      <a:avLst/>
                    </a:prstGeom>
                    <a:noFill/>
                    <a:ln>
                      <a:noFill/>
                    </a:ln>
                  </pic:spPr>
                </pic:pic>
              </a:graphicData>
            </a:graphic>
          </wp:anchor>
        </w:drawing>
      </w:r>
    </w:p>
    <w:p w14:paraId="5325067C" w14:textId="77777777" w:rsidR="00FF6E42" w:rsidRDefault="00FF6E42" w:rsidP="009B53A4">
      <w:pPr>
        <w:jc w:val="center"/>
        <w:rPr>
          <w:rFonts w:asciiTheme="minorHAnsi" w:hAnsiTheme="minorHAnsi"/>
          <w:b/>
          <w:sz w:val="32"/>
          <w:szCs w:val="32"/>
        </w:rPr>
      </w:pPr>
    </w:p>
    <w:p w14:paraId="4E769578" w14:textId="77777777" w:rsidR="00FF6E42" w:rsidRDefault="00FF6E42" w:rsidP="00FF6E42">
      <w:pPr>
        <w:jc w:val="right"/>
        <w:rPr>
          <w:rFonts w:asciiTheme="minorHAnsi" w:hAnsiTheme="minorHAnsi"/>
          <w:b/>
          <w:sz w:val="32"/>
          <w:szCs w:val="32"/>
        </w:rPr>
      </w:pPr>
    </w:p>
    <w:p w14:paraId="3650EEF1" w14:textId="77777777" w:rsidR="00FF6E42" w:rsidRDefault="00FF6E42" w:rsidP="009B53A4">
      <w:pPr>
        <w:jc w:val="center"/>
        <w:rPr>
          <w:rFonts w:asciiTheme="minorHAnsi" w:hAnsiTheme="minorHAnsi"/>
          <w:b/>
          <w:sz w:val="32"/>
          <w:szCs w:val="32"/>
        </w:rPr>
      </w:pPr>
    </w:p>
    <w:p w14:paraId="24224FB7" w14:textId="77777777" w:rsidR="00FC4B1A" w:rsidRDefault="00FC4B1A" w:rsidP="009B53A4">
      <w:pPr>
        <w:jc w:val="center"/>
        <w:rPr>
          <w:rFonts w:asciiTheme="minorHAnsi" w:hAnsiTheme="minorHAnsi"/>
          <w:b/>
          <w:sz w:val="32"/>
          <w:szCs w:val="32"/>
        </w:rPr>
      </w:pPr>
    </w:p>
    <w:p w14:paraId="35A59FF6" w14:textId="77777777" w:rsidR="00216830" w:rsidRPr="009B53A4" w:rsidRDefault="00DB17C9" w:rsidP="009B53A4">
      <w:pPr>
        <w:jc w:val="center"/>
        <w:rPr>
          <w:rFonts w:asciiTheme="minorHAnsi" w:hAnsiTheme="minorHAnsi"/>
          <w:b/>
          <w:sz w:val="32"/>
          <w:szCs w:val="32"/>
        </w:rPr>
      </w:pPr>
      <w:r w:rsidRPr="009B53A4">
        <w:rPr>
          <w:rFonts w:asciiTheme="minorHAnsi" w:hAnsiTheme="minorHAnsi"/>
          <w:b/>
          <w:sz w:val="32"/>
          <w:szCs w:val="32"/>
        </w:rPr>
        <w:t>Dudley BS launches discounted rates with ERC</w:t>
      </w:r>
      <w:r w:rsidR="004122E8">
        <w:rPr>
          <w:rFonts w:asciiTheme="minorHAnsi" w:hAnsiTheme="minorHAnsi"/>
          <w:b/>
          <w:sz w:val="32"/>
          <w:szCs w:val="32"/>
        </w:rPr>
        <w:t xml:space="preserve"> free</w:t>
      </w:r>
      <w:r w:rsidRPr="009B53A4">
        <w:rPr>
          <w:rFonts w:asciiTheme="minorHAnsi" w:hAnsiTheme="minorHAnsi"/>
          <w:b/>
          <w:sz w:val="32"/>
          <w:szCs w:val="32"/>
        </w:rPr>
        <w:t xml:space="preserve"> option</w:t>
      </w:r>
    </w:p>
    <w:p w14:paraId="2DF66F7E" w14:textId="77777777" w:rsidR="00DB17C9" w:rsidRPr="009B53A4" w:rsidRDefault="00DB17C9">
      <w:pPr>
        <w:rPr>
          <w:sz w:val="22"/>
          <w:szCs w:val="22"/>
        </w:rPr>
      </w:pPr>
    </w:p>
    <w:p w14:paraId="6220076B" w14:textId="77777777" w:rsidR="00DB17C9" w:rsidRPr="009B53A4" w:rsidRDefault="00DB17C9">
      <w:pPr>
        <w:rPr>
          <w:sz w:val="22"/>
          <w:szCs w:val="22"/>
        </w:rPr>
      </w:pPr>
      <w:r w:rsidRPr="009B53A4">
        <w:rPr>
          <w:sz w:val="22"/>
          <w:szCs w:val="22"/>
        </w:rPr>
        <w:t>Dudley Building Society, which lends exclusively through the intermediary market, has announced the launch of eight new discount</w:t>
      </w:r>
      <w:r w:rsidR="004122E8">
        <w:rPr>
          <w:sz w:val="22"/>
          <w:szCs w:val="22"/>
        </w:rPr>
        <w:t xml:space="preserve"> for term</w:t>
      </w:r>
      <w:r w:rsidRPr="009B53A4">
        <w:rPr>
          <w:sz w:val="22"/>
          <w:szCs w:val="22"/>
        </w:rPr>
        <w:t xml:space="preserve"> rate products, four of which have no Early Redemption Charge (ERC)</w:t>
      </w:r>
      <w:r w:rsidR="00CF3C05">
        <w:rPr>
          <w:sz w:val="22"/>
          <w:szCs w:val="22"/>
        </w:rPr>
        <w:t xml:space="preserve"> and start at 3.29%.</w:t>
      </w:r>
      <w:r w:rsidR="004122E8">
        <w:rPr>
          <w:sz w:val="22"/>
          <w:szCs w:val="22"/>
        </w:rPr>
        <w:t xml:space="preserve">  The products with ERC’s start from 2.99%.</w:t>
      </w:r>
    </w:p>
    <w:p w14:paraId="01C97B20" w14:textId="77777777" w:rsidR="00DB17C9" w:rsidRPr="009B53A4" w:rsidRDefault="00DB17C9">
      <w:pPr>
        <w:rPr>
          <w:sz w:val="22"/>
          <w:szCs w:val="22"/>
        </w:rPr>
      </w:pPr>
    </w:p>
    <w:p w14:paraId="298539A4" w14:textId="77777777" w:rsidR="00DB17C9" w:rsidRPr="009B53A4" w:rsidRDefault="00DB17C9">
      <w:pPr>
        <w:rPr>
          <w:sz w:val="22"/>
          <w:szCs w:val="22"/>
        </w:rPr>
      </w:pPr>
      <w:r w:rsidRPr="009B53A4">
        <w:rPr>
          <w:sz w:val="22"/>
          <w:szCs w:val="22"/>
        </w:rPr>
        <w:t>The Society has totally revamp</w:t>
      </w:r>
      <w:bookmarkStart w:id="0" w:name="_GoBack"/>
      <w:bookmarkEnd w:id="0"/>
      <w:r w:rsidRPr="009B53A4">
        <w:rPr>
          <w:sz w:val="22"/>
          <w:szCs w:val="22"/>
        </w:rPr>
        <w:t xml:space="preserve">ed its products during January </w:t>
      </w:r>
      <w:r w:rsidR="004122E8">
        <w:rPr>
          <w:sz w:val="22"/>
          <w:szCs w:val="22"/>
        </w:rPr>
        <w:t xml:space="preserve">and </w:t>
      </w:r>
      <w:r w:rsidRPr="009B53A4">
        <w:rPr>
          <w:sz w:val="22"/>
          <w:szCs w:val="22"/>
        </w:rPr>
        <w:t>has already launched new</w:t>
      </w:r>
      <w:r w:rsidR="004122E8">
        <w:rPr>
          <w:sz w:val="22"/>
          <w:szCs w:val="22"/>
        </w:rPr>
        <w:t xml:space="preserve"> interest only,</w:t>
      </w:r>
      <w:r w:rsidRPr="009B53A4">
        <w:rPr>
          <w:sz w:val="22"/>
          <w:szCs w:val="22"/>
        </w:rPr>
        <w:t xml:space="preserve"> BTL and fixed rate products as well as removing upper age limits across the whole range.</w:t>
      </w:r>
    </w:p>
    <w:p w14:paraId="3AAF34F7" w14:textId="77777777" w:rsidR="003B13FE" w:rsidRPr="009B53A4" w:rsidRDefault="003B13FE" w:rsidP="003B13FE">
      <w:pPr>
        <w:rPr>
          <w:sz w:val="22"/>
          <w:szCs w:val="22"/>
        </w:rPr>
      </w:pPr>
    </w:p>
    <w:tbl>
      <w:tblPr>
        <w:tblStyle w:val="TableGrid"/>
        <w:tblW w:w="6663" w:type="dxa"/>
        <w:tblInd w:w="2263" w:type="dxa"/>
        <w:tblLook w:val="04A0" w:firstRow="1" w:lastRow="0" w:firstColumn="1" w:lastColumn="0" w:noHBand="0" w:noVBand="1"/>
      </w:tblPr>
      <w:tblGrid>
        <w:gridCol w:w="3261"/>
        <w:gridCol w:w="3402"/>
      </w:tblGrid>
      <w:tr w:rsidR="003B13FE" w:rsidRPr="009B53A4" w14:paraId="51C80118" w14:textId="77777777" w:rsidTr="000164F7">
        <w:tc>
          <w:tcPr>
            <w:tcW w:w="3261" w:type="dxa"/>
          </w:tcPr>
          <w:p w14:paraId="6E8FB4D4" w14:textId="77777777" w:rsidR="003B13FE" w:rsidRPr="009B53A4" w:rsidRDefault="003B13FE" w:rsidP="000164F7">
            <w:pPr>
              <w:rPr>
                <w:sz w:val="18"/>
                <w:szCs w:val="18"/>
              </w:rPr>
            </w:pPr>
            <w:r w:rsidRPr="009B53A4">
              <w:rPr>
                <w:sz w:val="18"/>
                <w:szCs w:val="18"/>
              </w:rPr>
              <w:t xml:space="preserve"> Discount for Term - Purchase</w:t>
            </w:r>
          </w:p>
        </w:tc>
        <w:tc>
          <w:tcPr>
            <w:tcW w:w="3402" w:type="dxa"/>
          </w:tcPr>
          <w:p w14:paraId="1A1925B3" w14:textId="77777777" w:rsidR="003B13FE" w:rsidRPr="009B53A4" w:rsidRDefault="003B13FE" w:rsidP="000164F7">
            <w:pPr>
              <w:rPr>
                <w:sz w:val="18"/>
                <w:szCs w:val="18"/>
              </w:rPr>
            </w:pPr>
            <w:r w:rsidRPr="009B53A4">
              <w:rPr>
                <w:sz w:val="18"/>
                <w:szCs w:val="18"/>
              </w:rPr>
              <w:t>Discount for Term - Remortgage</w:t>
            </w:r>
          </w:p>
        </w:tc>
      </w:tr>
    </w:tbl>
    <w:p w14:paraId="00DED0FC" w14:textId="77777777" w:rsidR="003B13FE" w:rsidRPr="009B53A4" w:rsidRDefault="003B13FE" w:rsidP="003B13FE">
      <w:pPr>
        <w:rPr>
          <w:sz w:val="18"/>
          <w:szCs w:val="18"/>
        </w:rPr>
      </w:pPr>
    </w:p>
    <w:p w14:paraId="7F041029" w14:textId="77777777" w:rsidR="003B13FE" w:rsidRPr="009B53A4" w:rsidRDefault="003B13FE" w:rsidP="003B13FE">
      <w:pPr>
        <w:rPr>
          <w:sz w:val="18"/>
          <w:szCs w:val="1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41"/>
        <w:gridCol w:w="3368"/>
      </w:tblGrid>
      <w:tr w:rsidR="003B13FE" w:rsidRPr="009B53A4" w14:paraId="6433CAC6" w14:textId="77777777" w:rsidTr="000164F7">
        <w:tc>
          <w:tcPr>
            <w:tcW w:w="1250" w:type="pct"/>
            <w:shd w:val="clear" w:color="auto" w:fill="auto"/>
          </w:tcPr>
          <w:p w14:paraId="59ECF313"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LTV</w:t>
            </w:r>
          </w:p>
        </w:tc>
        <w:tc>
          <w:tcPr>
            <w:tcW w:w="1839" w:type="pct"/>
            <w:shd w:val="clear" w:color="auto" w:fill="auto"/>
          </w:tcPr>
          <w:p w14:paraId="723600C8"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&lt;60%</w:t>
            </w:r>
          </w:p>
        </w:tc>
        <w:tc>
          <w:tcPr>
            <w:tcW w:w="1911" w:type="pct"/>
            <w:shd w:val="clear" w:color="auto" w:fill="auto"/>
          </w:tcPr>
          <w:p w14:paraId="1CC8F38B"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&lt;60%</w:t>
            </w:r>
          </w:p>
        </w:tc>
      </w:tr>
      <w:tr w:rsidR="003B13FE" w:rsidRPr="009B53A4" w14:paraId="07575A53" w14:textId="77777777" w:rsidTr="000164F7">
        <w:tc>
          <w:tcPr>
            <w:tcW w:w="1250" w:type="pct"/>
            <w:shd w:val="clear" w:color="auto" w:fill="auto"/>
          </w:tcPr>
          <w:p w14:paraId="31F6FF5F"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Rate</w:t>
            </w:r>
          </w:p>
        </w:tc>
        <w:tc>
          <w:tcPr>
            <w:tcW w:w="1839" w:type="pct"/>
            <w:shd w:val="clear" w:color="auto" w:fill="auto"/>
          </w:tcPr>
          <w:p w14:paraId="6BAFB980"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2.99% (2.00% discount from SVR)</w:t>
            </w:r>
          </w:p>
        </w:tc>
        <w:tc>
          <w:tcPr>
            <w:tcW w:w="1911" w:type="pct"/>
            <w:shd w:val="clear" w:color="auto" w:fill="auto"/>
          </w:tcPr>
          <w:p w14:paraId="4F6C431C"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2.99% (2.00% discount from SVR)</w:t>
            </w:r>
          </w:p>
        </w:tc>
      </w:tr>
      <w:tr w:rsidR="003B13FE" w:rsidRPr="009B53A4" w14:paraId="7080C257" w14:textId="77777777" w:rsidTr="000164F7">
        <w:tc>
          <w:tcPr>
            <w:tcW w:w="1250" w:type="pct"/>
            <w:shd w:val="clear" w:color="auto" w:fill="auto"/>
          </w:tcPr>
          <w:p w14:paraId="3D30CAC4"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ERC</w:t>
            </w:r>
          </w:p>
        </w:tc>
        <w:tc>
          <w:tcPr>
            <w:tcW w:w="1839" w:type="pct"/>
            <w:shd w:val="clear" w:color="auto" w:fill="auto"/>
          </w:tcPr>
          <w:p w14:paraId="13DF85EA"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 of advance amount in first three years</w:t>
            </w:r>
          </w:p>
        </w:tc>
        <w:tc>
          <w:tcPr>
            <w:tcW w:w="1911" w:type="pct"/>
            <w:shd w:val="clear" w:color="auto" w:fill="auto"/>
          </w:tcPr>
          <w:p w14:paraId="01212B24"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 of advance amount in first three years</w:t>
            </w:r>
          </w:p>
        </w:tc>
      </w:tr>
    </w:tbl>
    <w:p w14:paraId="16AC81A4" w14:textId="77777777" w:rsidR="003B13FE" w:rsidRPr="009B53A4" w:rsidRDefault="003B13FE" w:rsidP="003B13FE">
      <w:pPr>
        <w:pStyle w:val="ListParagraph"/>
        <w:ind w:left="0"/>
        <w:jc w:val="both"/>
        <w:rPr>
          <w:rFonts w:ascii="Calibri" w:hAnsi="Calibri" w:cs="Arial"/>
          <w:color w:val="FF0000"/>
          <w:sz w:val="18"/>
          <w:szCs w:val="1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41"/>
        <w:gridCol w:w="3368"/>
      </w:tblGrid>
      <w:tr w:rsidR="003B13FE" w:rsidRPr="009B53A4" w14:paraId="1149CCF7" w14:textId="77777777" w:rsidTr="000164F7">
        <w:tc>
          <w:tcPr>
            <w:tcW w:w="1250" w:type="pct"/>
            <w:shd w:val="clear" w:color="auto" w:fill="auto"/>
          </w:tcPr>
          <w:p w14:paraId="72F61D28"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LTV</w:t>
            </w:r>
          </w:p>
        </w:tc>
        <w:tc>
          <w:tcPr>
            <w:tcW w:w="1839" w:type="pct"/>
            <w:shd w:val="clear" w:color="auto" w:fill="auto"/>
          </w:tcPr>
          <w:p w14:paraId="66C98AA7"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&lt;60%</w:t>
            </w:r>
          </w:p>
        </w:tc>
        <w:tc>
          <w:tcPr>
            <w:tcW w:w="1911" w:type="pct"/>
            <w:shd w:val="clear" w:color="auto" w:fill="auto"/>
          </w:tcPr>
          <w:p w14:paraId="5CD92413"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&lt;60%</w:t>
            </w:r>
          </w:p>
        </w:tc>
      </w:tr>
      <w:tr w:rsidR="003B13FE" w:rsidRPr="009B53A4" w14:paraId="196BD572" w14:textId="77777777" w:rsidTr="000164F7">
        <w:tc>
          <w:tcPr>
            <w:tcW w:w="1250" w:type="pct"/>
            <w:shd w:val="clear" w:color="auto" w:fill="auto"/>
          </w:tcPr>
          <w:p w14:paraId="5748CDF6"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Rate</w:t>
            </w:r>
          </w:p>
        </w:tc>
        <w:tc>
          <w:tcPr>
            <w:tcW w:w="1839" w:type="pct"/>
            <w:shd w:val="clear" w:color="auto" w:fill="auto"/>
          </w:tcPr>
          <w:p w14:paraId="1F1232FB"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3.29% (1.70% discount from SVR)</w:t>
            </w:r>
          </w:p>
        </w:tc>
        <w:tc>
          <w:tcPr>
            <w:tcW w:w="1911" w:type="pct"/>
            <w:shd w:val="clear" w:color="auto" w:fill="auto"/>
          </w:tcPr>
          <w:p w14:paraId="183A8E25"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3.29% (1.70% discount from SVR)</w:t>
            </w:r>
          </w:p>
        </w:tc>
      </w:tr>
      <w:tr w:rsidR="003B13FE" w:rsidRPr="009B53A4" w14:paraId="0D4D9324" w14:textId="77777777" w:rsidTr="000164F7">
        <w:tc>
          <w:tcPr>
            <w:tcW w:w="1250" w:type="pct"/>
            <w:shd w:val="clear" w:color="auto" w:fill="auto"/>
          </w:tcPr>
          <w:p w14:paraId="58E82C23"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ERC</w:t>
            </w:r>
          </w:p>
        </w:tc>
        <w:tc>
          <w:tcPr>
            <w:tcW w:w="1839" w:type="pct"/>
            <w:shd w:val="clear" w:color="auto" w:fill="auto"/>
          </w:tcPr>
          <w:p w14:paraId="5DF21D9E"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None</w:t>
            </w:r>
          </w:p>
        </w:tc>
        <w:tc>
          <w:tcPr>
            <w:tcW w:w="1911" w:type="pct"/>
            <w:shd w:val="clear" w:color="auto" w:fill="auto"/>
          </w:tcPr>
          <w:p w14:paraId="2C672D9C"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None</w:t>
            </w:r>
          </w:p>
        </w:tc>
      </w:tr>
    </w:tbl>
    <w:p w14:paraId="74127AE8" w14:textId="77777777" w:rsidR="003B13FE" w:rsidRPr="009B53A4" w:rsidRDefault="003B13FE" w:rsidP="003B13FE">
      <w:pPr>
        <w:rPr>
          <w:rFonts w:ascii="Calibri" w:hAnsi="Calibri"/>
          <w:sz w:val="18"/>
          <w:szCs w:val="18"/>
        </w:rPr>
      </w:pPr>
    </w:p>
    <w:p w14:paraId="04020448" w14:textId="77777777" w:rsidR="003B13FE" w:rsidRPr="009B53A4" w:rsidRDefault="003B13FE" w:rsidP="003B13FE">
      <w:pPr>
        <w:rPr>
          <w:rFonts w:ascii="Calibri" w:hAnsi="Calibri"/>
          <w:sz w:val="18"/>
          <w:szCs w:val="1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41"/>
        <w:gridCol w:w="3368"/>
      </w:tblGrid>
      <w:tr w:rsidR="003B13FE" w:rsidRPr="009B53A4" w14:paraId="7F273DB3" w14:textId="77777777" w:rsidTr="000164F7">
        <w:tc>
          <w:tcPr>
            <w:tcW w:w="1250" w:type="pct"/>
            <w:shd w:val="clear" w:color="auto" w:fill="auto"/>
          </w:tcPr>
          <w:p w14:paraId="5C6AE425"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LTV</w:t>
            </w:r>
          </w:p>
        </w:tc>
        <w:tc>
          <w:tcPr>
            <w:tcW w:w="1839" w:type="pct"/>
            <w:shd w:val="clear" w:color="auto" w:fill="auto"/>
          </w:tcPr>
          <w:p w14:paraId="0BBF3CCE"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&lt;80%</w:t>
            </w:r>
          </w:p>
          <w:p w14:paraId="428C6AC0" w14:textId="77777777" w:rsidR="003B13FE" w:rsidRPr="009B53A4" w:rsidRDefault="003B13FE" w:rsidP="000164F7">
            <w:pPr>
              <w:pStyle w:val="ListParagraph"/>
              <w:ind w:left="0"/>
              <w:jc w:val="center"/>
              <w:rPr>
                <w:rFonts w:ascii="Calibri" w:hAnsi="Calibri"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325"/>
            </w:tblGrid>
            <w:tr w:rsidR="003B13FE" w:rsidRPr="009B53A4" w14:paraId="6C0594D2" w14:textId="77777777" w:rsidTr="000164F7">
              <w:trPr>
                <w:jc w:val="center"/>
              </w:trPr>
              <w:tc>
                <w:tcPr>
                  <w:tcW w:w="898" w:type="dxa"/>
                  <w:shd w:val="clear" w:color="auto" w:fill="D9D9D9"/>
                </w:tcPr>
                <w:p w14:paraId="1FE81F45"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LTV</w:t>
                  </w:r>
                </w:p>
              </w:tc>
              <w:tc>
                <w:tcPr>
                  <w:tcW w:w="1325" w:type="dxa"/>
                  <w:shd w:val="clear" w:color="auto" w:fill="D9D9D9"/>
                </w:tcPr>
                <w:p w14:paraId="2704538A"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Loan Size</w:t>
                  </w:r>
                </w:p>
              </w:tc>
            </w:tr>
            <w:tr w:rsidR="003B13FE" w:rsidRPr="009B53A4" w14:paraId="4730B792" w14:textId="77777777" w:rsidTr="000164F7">
              <w:trPr>
                <w:jc w:val="center"/>
              </w:trPr>
              <w:tc>
                <w:tcPr>
                  <w:tcW w:w="898" w:type="dxa"/>
                </w:tcPr>
                <w:p w14:paraId="2D2B2544"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80%</w:t>
                  </w:r>
                </w:p>
              </w:tc>
              <w:tc>
                <w:tcPr>
                  <w:tcW w:w="1325" w:type="dxa"/>
                </w:tcPr>
                <w:p w14:paraId="6B41679C"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£400,000 </w:t>
                  </w:r>
                </w:p>
              </w:tc>
            </w:tr>
            <w:tr w:rsidR="003B13FE" w:rsidRPr="009B53A4" w14:paraId="653F5006" w14:textId="77777777" w:rsidTr="000164F7">
              <w:trPr>
                <w:jc w:val="center"/>
              </w:trPr>
              <w:tc>
                <w:tcPr>
                  <w:tcW w:w="898" w:type="dxa"/>
                </w:tcPr>
                <w:p w14:paraId="32FF2518"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75%</w:t>
                  </w:r>
                </w:p>
              </w:tc>
              <w:tc>
                <w:tcPr>
                  <w:tcW w:w="1325" w:type="dxa"/>
                </w:tcPr>
                <w:p w14:paraId="013EE762"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£1,000,000 </w:t>
                  </w:r>
                </w:p>
              </w:tc>
            </w:tr>
          </w:tbl>
          <w:p w14:paraId="48EDE393" w14:textId="77777777" w:rsidR="003B13FE" w:rsidRPr="009B53A4" w:rsidRDefault="003B13FE" w:rsidP="000164F7">
            <w:pPr>
              <w:pStyle w:val="ListParagraph"/>
              <w:ind w:left="0"/>
              <w:jc w:val="center"/>
              <w:rPr>
                <w:rFonts w:ascii="Calibri" w:hAnsi="Calibri" w:cs="Arial"/>
                <w:b/>
                <w:sz w:val="18"/>
                <w:szCs w:val="18"/>
              </w:rPr>
            </w:pPr>
          </w:p>
        </w:tc>
        <w:tc>
          <w:tcPr>
            <w:tcW w:w="1911" w:type="pct"/>
            <w:shd w:val="clear" w:color="auto" w:fill="auto"/>
          </w:tcPr>
          <w:p w14:paraId="69406B32"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&lt;80%</w:t>
            </w:r>
          </w:p>
          <w:p w14:paraId="675D5379" w14:textId="77777777" w:rsidR="003B13FE" w:rsidRPr="009B53A4" w:rsidRDefault="003B13FE" w:rsidP="000164F7">
            <w:pPr>
              <w:pStyle w:val="ListParagraph"/>
              <w:ind w:left="0"/>
              <w:jc w:val="center"/>
              <w:rPr>
                <w:rFonts w:ascii="Calibri" w:hAnsi="Calibri"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325"/>
            </w:tblGrid>
            <w:tr w:rsidR="003B13FE" w:rsidRPr="009B53A4" w14:paraId="751223AC" w14:textId="77777777" w:rsidTr="000164F7">
              <w:trPr>
                <w:jc w:val="center"/>
              </w:trPr>
              <w:tc>
                <w:tcPr>
                  <w:tcW w:w="898" w:type="dxa"/>
                  <w:shd w:val="clear" w:color="auto" w:fill="D9D9D9"/>
                </w:tcPr>
                <w:p w14:paraId="025841E5"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LTV</w:t>
                  </w:r>
                </w:p>
              </w:tc>
              <w:tc>
                <w:tcPr>
                  <w:tcW w:w="1325" w:type="dxa"/>
                  <w:shd w:val="clear" w:color="auto" w:fill="D9D9D9"/>
                </w:tcPr>
                <w:p w14:paraId="0EE4A81D"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Loan Size</w:t>
                  </w:r>
                </w:p>
              </w:tc>
            </w:tr>
            <w:tr w:rsidR="003B13FE" w:rsidRPr="009B53A4" w14:paraId="51672E36" w14:textId="77777777" w:rsidTr="000164F7">
              <w:trPr>
                <w:jc w:val="center"/>
              </w:trPr>
              <w:tc>
                <w:tcPr>
                  <w:tcW w:w="898" w:type="dxa"/>
                </w:tcPr>
                <w:p w14:paraId="53EF64BC"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80%</w:t>
                  </w:r>
                </w:p>
              </w:tc>
              <w:tc>
                <w:tcPr>
                  <w:tcW w:w="1325" w:type="dxa"/>
                </w:tcPr>
                <w:p w14:paraId="21F865D4"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£400,000 </w:t>
                  </w:r>
                </w:p>
              </w:tc>
            </w:tr>
            <w:tr w:rsidR="003B13FE" w:rsidRPr="009B53A4" w14:paraId="703D37D5" w14:textId="77777777" w:rsidTr="000164F7">
              <w:trPr>
                <w:jc w:val="center"/>
              </w:trPr>
              <w:tc>
                <w:tcPr>
                  <w:tcW w:w="898" w:type="dxa"/>
                </w:tcPr>
                <w:p w14:paraId="7E64B04B"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75%</w:t>
                  </w:r>
                </w:p>
              </w:tc>
              <w:tc>
                <w:tcPr>
                  <w:tcW w:w="1325" w:type="dxa"/>
                </w:tcPr>
                <w:p w14:paraId="77CC35EA"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£1,000,000 </w:t>
                  </w:r>
                </w:p>
              </w:tc>
            </w:tr>
          </w:tbl>
          <w:p w14:paraId="7793E0E2" w14:textId="77777777" w:rsidR="003B13FE" w:rsidRPr="009B53A4" w:rsidRDefault="003B13FE" w:rsidP="000164F7">
            <w:pPr>
              <w:pStyle w:val="ListParagraph"/>
              <w:ind w:left="0"/>
              <w:jc w:val="center"/>
              <w:rPr>
                <w:rFonts w:ascii="Calibri" w:hAnsi="Calibri" w:cs="Arial"/>
                <w:b/>
                <w:sz w:val="18"/>
                <w:szCs w:val="18"/>
              </w:rPr>
            </w:pPr>
          </w:p>
        </w:tc>
      </w:tr>
      <w:tr w:rsidR="003B13FE" w:rsidRPr="009B53A4" w14:paraId="36BB8D85" w14:textId="77777777" w:rsidTr="000164F7">
        <w:tc>
          <w:tcPr>
            <w:tcW w:w="1250" w:type="pct"/>
            <w:shd w:val="clear" w:color="auto" w:fill="auto"/>
          </w:tcPr>
          <w:p w14:paraId="1F77091F"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Rate</w:t>
            </w:r>
          </w:p>
        </w:tc>
        <w:tc>
          <w:tcPr>
            <w:tcW w:w="1839" w:type="pct"/>
            <w:shd w:val="clear" w:color="auto" w:fill="auto"/>
          </w:tcPr>
          <w:p w14:paraId="34A59EF0"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3.49% (1.50% discount from SVR)</w:t>
            </w:r>
          </w:p>
        </w:tc>
        <w:tc>
          <w:tcPr>
            <w:tcW w:w="1911" w:type="pct"/>
            <w:shd w:val="clear" w:color="auto" w:fill="auto"/>
          </w:tcPr>
          <w:p w14:paraId="50CF2B43"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3.49% (1.50% discount from SVR)</w:t>
            </w:r>
          </w:p>
        </w:tc>
      </w:tr>
      <w:tr w:rsidR="003B13FE" w:rsidRPr="009B53A4" w14:paraId="20A60253" w14:textId="77777777" w:rsidTr="000164F7">
        <w:tc>
          <w:tcPr>
            <w:tcW w:w="1250" w:type="pct"/>
            <w:shd w:val="clear" w:color="auto" w:fill="auto"/>
          </w:tcPr>
          <w:p w14:paraId="5430FB89"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ERC</w:t>
            </w:r>
          </w:p>
        </w:tc>
        <w:tc>
          <w:tcPr>
            <w:tcW w:w="1839" w:type="pct"/>
            <w:shd w:val="clear" w:color="auto" w:fill="auto"/>
          </w:tcPr>
          <w:p w14:paraId="762E96E6"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 of advance amount in first three years</w:t>
            </w:r>
          </w:p>
        </w:tc>
        <w:tc>
          <w:tcPr>
            <w:tcW w:w="1911" w:type="pct"/>
            <w:shd w:val="clear" w:color="auto" w:fill="auto"/>
          </w:tcPr>
          <w:p w14:paraId="745FF77A"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 of advance amount in first three years</w:t>
            </w:r>
          </w:p>
        </w:tc>
      </w:tr>
    </w:tbl>
    <w:p w14:paraId="1BB3FF80" w14:textId="77777777" w:rsidR="003B13FE" w:rsidRPr="009B53A4" w:rsidRDefault="003B13FE" w:rsidP="003B13FE">
      <w:pPr>
        <w:rPr>
          <w:rFonts w:ascii="Calibri" w:hAnsi="Calibri"/>
          <w:sz w:val="18"/>
          <w:szCs w:val="1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41"/>
        <w:gridCol w:w="3368"/>
      </w:tblGrid>
      <w:tr w:rsidR="003B13FE" w:rsidRPr="009B53A4" w14:paraId="21A5DCA7" w14:textId="77777777" w:rsidTr="000164F7">
        <w:tc>
          <w:tcPr>
            <w:tcW w:w="1250" w:type="pct"/>
            <w:shd w:val="clear" w:color="auto" w:fill="auto"/>
          </w:tcPr>
          <w:p w14:paraId="635D80B4"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LTV</w:t>
            </w:r>
          </w:p>
        </w:tc>
        <w:tc>
          <w:tcPr>
            <w:tcW w:w="1839" w:type="pct"/>
            <w:shd w:val="clear" w:color="auto" w:fill="auto"/>
          </w:tcPr>
          <w:p w14:paraId="151F63DE"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&lt;80%</w:t>
            </w:r>
          </w:p>
          <w:p w14:paraId="7046F364" w14:textId="77777777" w:rsidR="003B13FE" w:rsidRPr="009B53A4" w:rsidRDefault="003B13FE" w:rsidP="000164F7">
            <w:pPr>
              <w:pStyle w:val="ListParagraph"/>
              <w:ind w:left="0"/>
              <w:jc w:val="center"/>
              <w:rPr>
                <w:rFonts w:ascii="Calibri" w:hAnsi="Calibri"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325"/>
            </w:tblGrid>
            <w:tr w:rsidR="003B13FE" w:rsidRPr="009B53A4" w14:paraId="45C1A2BA" w14:textId="77777777" w:rsidTr="000164F7">
              <w:trPr>
                <w:jc w:val="center"/>
              </w:trPr>
              <w:tc>
                <w:tcPr>
                  <w:tcW w:w="898" w:type="dxa"/>
                  <w:shd w:val="clear" w:color="auto" w:fill="D9D9D9"/>
                </w:tcPr>
                <w:p w14:paraId="6CF448EC"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LTV</w:t>
                  </w:r>
                </w:p>
              </w:tc>
              <w:tc>
                <w:tcPr>
                  <w:tcW w:w="1325" w:type="dxa"/>
                  <w:shd w:val="clear" w:color="auto" w:fill="D9D9D9"/>
                </w:tcPr>
                <w:p w14:paraId="729E80D7"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Loan Size</w:t>
                  </w:r>
                </w:p>
              </w:tc>
            </w:tr>
            <w:tr w:rsidR="003B13FE" w:rsidRPr="009B53A4" w14:paraId="607CBCA3" w14:textId="77777777" w:rsidTr="000164F7">
              <w:trPr>
                <w:jc w:val="center"/>
              </w:trPr>
              <w:tc>
                <w:tcPr>
                  <w:tcW w:w="898" w:type="dxa"/>
                </w:tcPr>
                <w:p w14:paraId="308CA5B1"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80%</w:t>
                  </w:r>
                </w:p>
              </w:tc>
              <w:tc>
                <w:tcPr>
                  <w:tcW w:w="1325" w:type="dxa"/>
                </w:tcPr>
                <w:p w14:paraId="1EBD5543"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£400,000 </w:t>
                  </w:r>
                </w:p>
              </w:tc>
            </w:tr>
            <w:tr w:rsidR="003B13FE" w:rsidRPr="009B53A4" w14:paraId="67974E62" w14:textId="77777777" w:rsidTr="000164F7">
              <w:trPr>
                <w:jc w:val="center"/>
              </w:trPr>
              <w:tc>
                <w:tcPr>
                  <w:tcW w:w="898" w:type="dxa"/>
                </w:tcPr>
                <w:p w14:paraId="2C5D9621"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75%</w:t>
                  </w:r>
                </w:p>
              </w:tc>
              <w:tc>
                <w:tcPr>
                  <w:tcW w:w="1325" w:type="dxa"/>
                </w:tcPr>
                <w:p w14:paraId="1D552C75"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£1,000,000 </w:t>
                  </w:r>
                </w:p>
              </w:tc>
            </w:tr>
          </w:tbl>
          <w:p w14:paraId="32A6E330" w14:textId="77777777" w:rsidR="003B13FE" w:rsidRPr="009B53A4" w:rsidRDefault="003B13FE" w:rsidP="000164F7">
            <w:pPr>
              <w:pStyle w:val="ListParagraph"/>
              <w:ind w:left="0"/>
              <w:jc w:val="center"/>
              <w:rPr>
                <w:rFonts w:ascii="Calibri" w:hAnsi="Calibri" w:cs="Arial"/>
                <w:b/>
                <w:sz w:val="18"/>
                <w:szCs w:val="18"/>
              </w:rPr>
            </w:pPr>
          </w:p>
        </w:tc>
        <w:tc>
          <w:tcPr>
            <w:tcW w:w="1911" w:type="pct"/>
            <w:shd w:val="clear" w:color="auto" w:fill="auto"/>
          </w:tcPr>
          <w:p w14:paraId="47667D42" w14:textId="77777777" w:rsidR="003B13FE" w:rsidRPr="009B53A4" w:rsidRDefault="003B13FE" w:rsidP="000164F7">
            <w:pPr>
              <w:pStyle w:val="ListParagraph"/>
              <w:ind w:left="0"/>
              <w:jc w:val="center"/>
              <w:rPr>
                <w:rFonts w:ascii="Calibri" w:hAnsi="Calibri" w:cs="Arial"/>
                <w:b/>
                <w:sz w:val="18"/>
                <w:szCs w:val="18"/>
              </w:rPr>
            </w:pPr>
            <w:r w:rsidRPr="009B53A4">
              <w:rPr>
                <w:rFonts w:ascii="Calibri" w:hAnsi="Calibri" w:cs="Arial"/>
                <w:b/>
                <w:sz w:val="18"/>
                <w:szCs w:val="18"/>
              </w:rPr>
              <w:t>&lt;80%</w:t>
            </w:r>
          </w:p>
          <w:p w14:paraId="41E01821" w14:textId="77777777" w:rsidR="003B13FE" w:rsidRPr="009B53A4" w:rsidRDefault="003B13FE" w:rsidP="000164F7">
            <w:pPr>
              <w:pStyle w:val="ListParagraph"/>
              <w:ind w:left="0"/>
              <w:jc w:val="center"/>
              <w:rPr>
                <w:rFonts w:ascii="Calibri" w:hAnsi="Calibri"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325"/>
            </w:tblGrid>
            <w:tr w:rsidR="003B13FE" w:rsidRPr="009B53A4" w14:paraId="01B6DDF2" w14:textId="77777777" w:rsidTr="000164F7">
              <w:trPr>
                <w:jc w:val="center"/>
              </w:trPr>
              <w:tc>
                <w:tcPr>
                  <w:tcW w:w="898" w:type="dxa"/>
                  <w:shd w:val="clear" w:color="auto" w:fill="D9D9D9"/>
                </w:tcPr>
                <w:p w14:paraId="4D0A8AF2"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LTV</w:t>
                  </w:r>
                </w:p>
              </w:tc>
              <w:tc>
                <w:tcPr>
                  <w:tcW w:w="1325" w:type="dxa"/>
                  <w:shd w:val="clear" w:color="auto" w:fill="D9D9D9"/>
                </w:tcPr>
                <w:p w14:paraId="28814167"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Max Loan Size</w:t>
                  </w:r>
                </w:p>
              </w:tc>
            </w:tr>
            <w:tr w:rsidR="003B13FE" w:rsidRPr="009B53A4" w14:paraId="34F29B63" w14:textId="77777777" w:rsidTr="000164F7">
              <w:trPr>
                <w:jc w:val="center"/>
              </w:trPr>
              <w:tc>
                <w:tcPr>
                  <w:tcW w:w="898" w:type="dxa"/>
                </w:tcPr>
                <w:p w14:paraId="5F6D3201"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80%</w:t>
                  </w:r>
                </w:p>
              </w:tc>
              <w:tc>
                <w:tcPr>
                  <w:tcW w:w="1325" w:type="dxa"/>
                </w:tcPr>
                <w:p w14:paraId="7B2426D4"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£400,000 </w:t>
                  </w:r>
                </w:p>
              </w:tc>
            </w:tr>
            <w:tr w:rsidR="003B13FE" w:rsidRPr="009B53A4" w14:paraId="409401CC" w14:textId="77777777" w:rsidTr="000164F7">
              <w:trPr>
                <w:jc w:val="center"/>
              </w:trPr>
              <w:tc>
                <w:tcPr>
                  <w:tcW w:w="898" w:type="dxa"/>
                </w:tcPr>
                <w:p w14:paraId="5A3FEEEB"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75%</w:t>
                  </w:r>
                </w:p>
              </w:tc>
              <w:tc>
                <w:tcPr>
                  <w:tcW w:w="1325" w:type="dxa"/>
                </w:tcPr>
                <w:p w14:paraId="61BD91EC" w14:textId="77777777" w:rsidR="003B13FE" w:rsidRPr="009B53A4" w:rsidRDefault="003B13FE" w:rsidP="000164F7">
                  <w:pPr>
                    <w:jc w:val="center"/>
                    <w:rPr>
                      <w:rFonts w:ascii="Calibri" w:hAnsi="Calibri" w:cs="Arial"/>
                      <w:b/>
                      <w:sz w:val="18"/>
                      <w:szCs w:val="18"/>
                    </w:rPr>
                  </w:pPr>
                  <w:r w:rsidRPr="009B53A4">
                    <w:rPr>
                      <w:rFonts w:ascii="Calibri" w:hAnsi="Calibri" w:cs="Arial"/>
                      <w:b/>
                      <w:sz w:val="18"/>
                      <w:szCs w:val="18"/>
                    </w:rPr>
                    <w:t xml:space="preserve">£1,000,000 </w:t>
                  </w:r>
                </w:p>
              </w:tc>
            </w:tr>
          </w:tbl>
          <w:p w14:paraId="0915BAA4" w14:textId="77777777" w:rsidR="003B13FE" w:rsidRPr="009B53A4" w:rsidRDefault="003B13FE" w:rsidP="000164F7">
            <w:pPr>
              <w:pStyle w:val="ListParagraph"/>
              <w:ind w:left="0"/>
              <w:jc w:val="center"/>
              <w:rPr>
                <w:rFonts w:ascii="Calibri" w:hAnsi="Calibri" w:cs="Arial"/>
                <w:b/>
                <w:sz w:val="18"/>
                <w:szCs w:val="18"/>
              </w:rPr>
            </w:pPr>
          </w:p>
        </w:tc>
      </w:tr>
      <w:tr w:rsidR="003B13FE" w:rsidRPr="009B53A4" w14:paraId="09FA66B7" w14:textId="77777777" w:rsidTr="000164F7">
        <w:tc>
          <w:tcPr>
            <w:tcW w:w="1250" w:type="pct"/>
            <w:shd w:val="clear" w:color="auto" w:fill="auto"/>
          </w:tcPr>
          <w:p w14:paraId="730EB98C"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Rate</w:t>
            </w:r>
          </w:p>
        </w:tc>
        <w:tc>
          <w:tcPr>
            <w:tcW w:w="1839" w:type="pct"/>
            <w:shd w:val="clear" w:color="auto" w:fill="auto"/>
          </w:tcPr>
          <w:p w14:paraId="16F1299F"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3.69% (1.30% discount from SVR)</w:t>
            </w:r>
          </w:p>
        </w:tc>
        <w:tc>
          <w:tcPr>
            <w:tcW w:w="1911" w:type="pct"/>
            <w:shd w:val="clear" w:color="auto" w:fill="auto"/>
          </w:tcPr>
          <w:p w14:paraId="3CD672AF"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3.69% (1.30% discount from SVR)</w:t>
            </w:r>
          </w:p>
        </w:tc>
      </w:tr>
      <w:tr w:rsidR="003B13FE" w:rsidRPr="009B53A4" w14:paraId="082B6F6F" w14:textId="77777777" w:rsidTr="000164F7">
        <w:tc>
          <w:tcPr>
            <w:tcW w:w="1250" w:type="pct"/>
            <w:shd w:val="clear" w:color="auto" w:fill="auto"/>
          </w:tcPr>
          <w:p w14:paraId="6643245D"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ERC</w:t>
            </w:r>
          </w:p>
        </w:tc>
        <w:tc>
          <w:tcPr>
            <w:tcW w:w="1839" w:type="pct"/>
            <w:shd w:val="clear" w:color="auto" w:fill="auto"/>
          </w:tcPr>
          <w:p w14:paraId="38D6F23B"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None</w:t>
            </w:r>
          </w:p>
        </w:tc>
        <w:tc>
          <w:tcPr>
            <w:tcW w:w="1911" w:type="pct"/>
            <w:shd w:val="clear" w:color="auto" w:fill="auto"/>
          </w:tcPr>
          <w:p w14:paraId="2917913C"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None</w:t>
            </w:r>
          </w:p>
        </w:tc>
      </w:tr>
    </w:tbl>
    <w:p w14:paraId="055EB77D" w14:textId="77777777" w:rsidR="003B13FE" w:rsidRPr="009B53A4" w:rsidRDefault="003B13FE" w:rsidP="003B13FE">
      <w:pPr>
        <w:rPr>
          <w:rFonts w:ascii="Calibri" w:hAnsi="Calibri"/>
          <w:sz w:val="18"/>
          <w:szCs w:val="1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241"/>
        <w:gridCol w:w="3368"/>
      </w:tblGrid>
      <w:tr w:rsidR="003B13FE" w:rsidRPr="009B53A4" w14:paraId="63CB7D62" w14:textId="77777777" w:rsidTr="000164F7">
        <w:tc>
          <w:tcPr>
            <w:tcW w:w="1250" w:type="pct"/>
            <w:shd w:val="clear" w:color="auto" w:fill="auto"/>
          </w:tcPr>
          <w:p w14:paraId="1DB1F8CD"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Fee</w:t>
            </w:r>
          </w:p>
        </w:tc>
        <w:tc>
          <w:tcPr>
            <w:tcW w:w="1839" w:type="pct"/>
            <w:shd w:val="clear" w:color="auto" w:fill="auto"/>
          </w:tcPr>
          <w:p w14:paraId="4FA28166"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0.80%</w:t>
            </w:r>
          </w:p>
        </w:tc>
        <w:tc>
          <w:tcPr>
            <w:tcW w:w="1911" w:type="pct"/>
            <w:shd w:val="clear" w:color="auto" w:fill="auto"/>
          </w:tcPr>
          <w:p w14:paraId="284B1759"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1.00%</w:t>
            </w:r>
          </w:p>
        </w:tc>
      </w:tr>
      <w:tr w:rsidR="003B13FE" w:rsidRPr="009B53A4" w14:paraId="5664D5B9" w14:textId="77777777" w:rsidTr="000164F7">
        <w:tc>
          <w:tcPr>
            <w:tcW w:w="1250" w:type="pct"/>
            <w:shd w:val="clear" w:color="auto" w:fill="auto"/>
          </w:tcPr>
          <w:p w14:paraId="10960075" w14:textId="77777777" w:rsidR="003B13FE" w:rsidRPr="009B53A4" w:rsidRDefault="003B13FE" w:rsidP="000164F7">
            <w:pPr>
              <w:pStyle w:val="ListParagraph"/>
              <w:ind w:left="0"/>
              <w:rPr>
                <w:rFonts w:ascii="Calibri" w:hAnsi="Calibri" w:cs="Arial"/>
                <w:b/>
                <w:sz w:val="18"/>
                <w:szCs w:val="18"/>
              </w:rPr>
            </w:pPr>
            <w:r w:rsidRPr="009B53A4">
              <w:rPr>
                <w:rFonts w:ascii="Calibri" w:hAnsi="Calibri" w:cs="Arial"/>
                <w:b/>
                <w:sz w:val="18"/>
                <w:szCs w:val="18"/>
              </w:rPr>
              <w:t>Min/Max Loan size</w:t>
            </w:r>
          </w:p>
        </w:tc>
        <w:tc>
          <w:tcPr>
            <w:tcW w:w="1839" w:type="pct"/>
            <w:shd w:val="clear" w:color="auto" w:fill="auto"/>
          </w:tcPr>
          <w:p w14:paraId="659C3289"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£25k/£1M</w:t>
            </w:r>
          </w:p>
        </w:tc>
        <w:tc>
          <w:tcPr>
            <w:tcW w:w="1911" w:type="pct"/>
            <w:shd w:val="clear" w:color="auto" w:fill="auto"/>
          </w:tcPr>
          <w:p w14:paraId="344BAE27"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£25k/£1M</w:t>
            </w:r>
          </w:p>
        </w:tc>
      </w:tr>
      <w:tr w:rsidR="003B13FE" w:rsidRPr="009B53A4" w14:paraId="2204202B" w14:textId="77777777" w:rsidTr="000164F7">
        <w:tc>
          <w:tcPr>
            <w:tcW w:w="1250" w:type="pct"/>
            <w:shd w:val="clear" w:color="auto" w:fill="auto"/>
          </w:tcPr>
          <w:p w14:paraId="756805F3"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Term</w:t>
            </w:r>
          </w:p>
        </w:tc>
        <w:tc>
          <w:tcPr>
            <w:tcW w:w="1839" w:type="pct"/>
            <w:shd w:val="clear" w:color="auto" w:fill="auto"/>
          </w:tcPr>
          <w:p w14:paraId="32B94320"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5 – 35 Years</w:t>
            </w:r>
          </w:p>
        </w:tc>
        <w:tc>
          <w:tcPr>
            <w:tcW w:w="1911" w:type="pct"/>
            <w:shd w:val="clear" w:color="auto" w:fill="auto"/>
          </w:tcPr>
          <w:p w14:paraId="0850E23E"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5 – 35 Years</w:t>
            </w:r>
          </w:p>
        </w:tc>
      </w:tr>
      <w:tr w:rsidR="003B13FE" w:rsidRPr="009B53A4" w14:paraId="5DCF99FE" w14:textId="77777777" w:rsidTr="000164F7">
        <w:tc>
          <w:tcPr>
            <w:tcW w:w="1250" w:type="pct"/>
            <w:shd w:val="clear" w:color="auto" w:fill="auto"/>
          </w:tcPr>
          <w:p w14:paraId="1352DB94"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Repayment Type</w:t>
            </w:r>
          </w:p>
        </w:tc>
        <w:tc>
          <w:tcPr>
            <w:tcW w:w="1839" w:type="pct"/>
            <w:shd w:val="clear" w:color="auto" w:fill="auto"/>
          </w:tcPr>
          <w:p w14:paraId="6CBE7AF4"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Capital and Interest</w:t>
            </w:r>
          </w:p>
        </w:tc>
        <w:tc>
          <w:tcPr>
            <w:tcW w:w="1911" w:type="pct"/>
            <w:shd w:val="clear" w:color="auto" w:fill="auto"/>
          </w:tcPr>
          <w:p w14:paraId="627FD9B3"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Capital and Interest</w:t>
            </w:r>
          </w:p>
        </w:tc>
      </w:tr>
      <w:tr w:rsidR="003B13FE" w:rsidRPr="009B53A4" w14:paraId="050C9A26" w14:textId="77777777" w:rsidTr="000164F7">
        <w:tc>
          <w:tcPr>
            <w:tcW w:w="1250" w:type="pct"/>
            <w:shd w:val="clear" w:color="auto" w:fill="auto"/>
          </w:tcPr>
          <w:p w14:paraId="005389AE"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OC</w:t>
            </w:r>
          </w:p>
        </w:tc>
        <w:tc>
          <w:tcPr>
            <w:tcW w:w="1839" w:type="pct"/>
            <w:shd w:val="clear" w:color="auto" w:fill="auto"/>
          </w:tcPr>
          <w:p w14:paraId="1FD59AF9"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Can repay 10% of advanced amount in each of first three years without penalty</w:t>
            </w:r>
          </w:p>
        </w:tc>
        <w:tc>
          <w:tcPr>
            <w:tcW w:w="1911" w:type="pct"/>
            <w:shd w:val="clear" w:color="auto" w:fill="auto"/>
          </w:tcPr>
          <w:p w14:paraId="60A7163A"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Can repay 10% of advanced amount in each of first three years without penalty</w:t>
            </w:r>
          </w:p>
        </w:tc>
      </w:tr>
      <w:tr w:rsidR="003B13FE" w:rsidRPr="009B53A4" w14:paraId="28C752CB" w14:textId="77777777" w:rsidTr="000164F7">
        <w:tc>
          <w:tcPr>
            <w:tcW w:w="1250" w:type="pct"/>
            <w:shd w:val="clear" w:color="auto" w:fill="auto"/>
          </w:tcPr>
          <w:p w14:paraId="4F824692" w14:textId="77777777" w:rsidR="003B13FE" w:rsidRPr="009B53A4" w:rsidRDefault="003B13FE" w:rsidP="000164F7">
            <w:pPr>
              <w:pStyle w:val="ListParagraph"/>
              <w:ind w:left="0"/>
              <w:jc w:val="both"/>
              <w:rPr>
                <w:rFonts w:ascii="Calibri" w:hAnsi="Calibri" w:cs="Arial"/>
                <w:b/>
                <w:sz w:val="18"/>
                <w:szCs w:val="18"/>
              </w:rPr>
            </w:pPr>
            <w:r w:rsidRPr="009B53A4">
              <w:rPr>
                <w:rFonts w:ascii="Calibri" w:hAnsi="Calibri" w:cs="Arial"/>
                <w:b/>
                <w:sz w:val="18"/>
                <w:szCs w:val="18"/>
              </w:rPr>
              <w:t>Other Features</w:t>
            </w:r>
          </w:p>
        </w:tc>
        <w:tc>
          <w:tcPr>
            <w:tcW w:w="1839" w:type="pct"/>
            <w:shd w:val="clear" w:color="auto" w:fill="auto"/>
          </w:tcPr>
          <w:p w14:paraId="53DA33AB"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N/A</w:t>
            </w:r>
          </w:p>
        </w:tc>
        <w:tc>
          <w:tcPr>
            <w:tcW w:w="1911" w:type="pct"/>
            <w:shd w:val="clear" w:color="auto" w:fill="auto"/>
          </w:tcPr>
          <w:p w14:paraId="74FCFEC9" w14:textId="77777777" w:rsidR="003B13FE" w:rsidRPr="009B53A4" w:rsidRDefault="003B13FE" w:rsidP="000164F7">
            <w:pPr>
              <w:pStyle w:val="ListParagraph"/>
              <w:ind w:left="0"/>
              <w:jc w:val="center"/>
              <w:rPr>
                <w:rFonts w:ascii="Calibri" w:hAnsi="Calibri" w:cs="Arial"/>
                <w:sz w:val="18"/>
                <w:szCs w:val="18"/>
              </w:rPr>
            </w:pPr>
            <w:r w:rsidRPr="009B53A4">
              <w:rPr>
                <w:rFonts w:ascii="Calibri" w:hAnsi="Calibri" w:cs="Arial"/>
                <w:sz w:val="18"/>
                <w:szCs w:val="18"/>
              </w:rPr>
              <w:t>Free valuation and fee assisted legal fees</w:t>
            </w:r>
          </w:p>
        </w:tc>
      </w:tr>
    </w:tbl>
    <w:p w14:paraId="01BFED46" w14:textId="77777777" w:rsidR="003B13FE" w:rsidRPr="009B53A4" w:rsidRDefault="003B13FE" w:rsidP="003B13FE">
      <w:pPr>
        <w:pStyle w:val="ListParagraph"/>
        <w:ind w:left="0"/>
        <w:jc w:val="both"/>
        <w:rPr>
          <w:rFonts w:ascii="Calibri" w:hAnsi="Calibri" w:cs="Arial"/>
          <w:sz w:val="18"/>
          <w:szCs w:val="18"/>
        </w:rPr>
      </w:pPr>
    </w:p>
    <w:p w14:paraId="18887944" w14:textId="77777777" w:rsidR="009B53A4" w:rsidRDefault="009B53A4">
      <w:pPr>
        <w:rPr>
          <w:sz w:val="22"/>
          <w:szCs w:val="22"/>
        </w:rPr>
      </w:pPr>
    </w:p>
    <w:p w14:paraId="46A0DAC1" w14:textId="77777777" w:rsidR="00596A40" w:rsidRPr="009B53A4" w:rsidRDefault="009B53A4">
      <w:pPr>
        <w:rPr>
          <w:sz w:val="22"/>
          <w:szCs w:val="22"/>
        </w:rPr>
      </w:pPr>
      <w:r w:rsidRPr="009B53A4">
        <w:rPr>
          <w:sz w:val="22"/>
          <w:szCs w:val="22"/>
        </w:rPr>
        <w:t>Jonathan Moore, Head of Credit at Dudley Building Society commented, “We have already launched 15 new products since New Year and with these new discounted products, we are offering even more choice by including non ERC alternatives, which gives a degree of flexibility to clients which is still quite rare in the market. Societies like the Dudley continue to provide the narrative of innovation and forward thinking which is vital to a modern lending market.”</w:t>
      </w:r>
    </w:p>
    <w:p w14:paraId="23F4E8AB" w14:textId="77777777" w:rsidR="009B53A4" w:rsidRPr="009B53A4" w:rsidRDefault="009B53A4">
      <w:pPr>
        <w:rPr>
          <w:sz w:val="22"/>
          <w:szCs w:val="22"/>
        </w:rPr>
      </w:pPr>
    </w:p>
    <w:p w14:paraId="058EB7B3" w14:textId="77777777" w:rsidR="009B53A4" w:rsidRDefault="009B53A4">
      <w:pPr>
        <w:rPr>
          <w:sz w:val="22"/>
          <w:szCs w:val="22"/>
        </w:rPr>
      </w:pPr>
      <w:r w:rsidRPr="009B53A4">
        <w:rPr>
          <w:sz w:val="22"/>
          <w:szCs w:val="22"/>
        </w:rPr>
        <w:t xml:space="preserve">Ends </w:t>
      </w:r>
    </w:p>
    <w:p w14:paraId="4F29FDC2" w14:textId="77777777" w:rsidR="00FF6E42" w:rsidRDefault="00FF6E42">
      <w:pPr>
        <w:rPr>
          <w:sz w:val="22"/>
          <w:szCs w:val="22"/>
        </w:rPr>
      </w:pPr>
    </w:p>
    <w:p w14:paraId="18F8CA01" w14:textId="77777777" w:rsidR="00FF6E42" w:rsidRDefault="00FF6E42" w:rsidP="00FF6E42">
      <w:pPr>
        <w:pStyle w:val="BodyA"/>
        <w:jc w:val="both"/>
        <w:rPr>
          <w:rFonts w:ascii="Calibri" w:eastAsia="Calibri" w:hAnsi="Calibri" w:cs="Calibri"/>
          <w:b/>
          <w:bCs/>
          <w:sz w:val="18"/>
          <w:szCs w:val="18"/>
        </w:rPr>
      </w:pPr>
      <w:r>
        <w:rPr>
          <w:rFonts w:ascii="Calibri" w:eastAsia="Calibri" w:hAnsi="Calibri" w:cs="Calibri"/>
          <w:b/>
          <w:bCs/>
          <w:sz w:val="18"/>
          <w:szCs w:val="18"/>
        </w:rPr>
        <w:t>Editors</w:t>
      </w:r>
      <w:r>
        <w:rPr>
          <w:rFonts w:ascii="Calibri" w:eastAsia="Calibri" w:hAnsi="Calibri" w:cs="Calibri"/>
          <w:b/>
          <w:bCs/>
          <w:sz w:val="18"/>
          <w:szCs w:val="18"/>
          <w:lang w:val="fr-FR"/>
        </w:rPr>
        <w:t>’</w:t>
      </w:r>
      <w:r>
        <w:rPr>
          <w:rFonts w:ascii="Calibri" w:eastAsia="Calibri" w:hAnsi="Calibri" w:cs="Calibri"/>
          <w:b/>
          <w:bCs/>
          <w:sz w:val="18"/>
          <w:szCs w:val="18"/>
        </w:rPr>
        <w:t>Notes</w:t>
      </w:r>
      <w:r>
        <w:rPr>
          <w:rFonts w:ascii="Calibri" w:eastAsia="Calibri" w:hAnsi="Calibri" w:cs="Calibri"/>
          <w:b/>
          <w:bCs/>
          <w:sz w:val="18"/>
          <w:szCs w:val="18"/>
        </w:rPr>
        <w:br/>
      </w:r>
    </w:p>
    <w:p w14:paraId="1B6A49A1" w14:textId="77777777" w:rsidR="00FF6E42" w:rsidRDefault="00FF6E42" w:rsidP="00FF6E42">
      <w:pPr>
        <w:pStyle w:val="BodyA"/>
        <w:jc w:val="both"/>
        <w:rPr>
          <w:rFonts w:ascii="Calibri" w:eastAsia="Calibri" w:hAnsi="Calibri" w:cs="Calibri"/>
          <w:b/>
          <w:bCs/>
          <w:sz w:val="18"/>
          <w:szCs w:val="18"/>
          <w:u w:color="FF0000"/>
        </w:rPr>
      </w:pPr>
      <w:r>
        <w:rPr>
          <w:rFonts w:ascii="Calibri" w:eastAsia="Calibri" w:hAnsi="Calibri" w:cs="Calibri"/>
          <w:b/>
          <w:bCs/>
          <w:sz w:val="18"/>
          <w:szCs w:val="18"/>
        </w:rPr>
        <w:t>Dudley Building Society</w:t>
      </w:r>
    </w:p>
    <w:p w14:paraId="579760FB" w14:textId="77777777" w:rsidR="00FF6E42" w:rsidRDefault="00FF6E42" w:rsidP="00FF6E42">
      <w:pPr>
        <w:pStyle w:val="BodyA"/>
        <w:jc w:val="both"/>
        <w:rPr>
          <w:rFonts w:ascii="Calibri" w:eastAsia="Calibri" w:hAnsi="Calibri" w:cs="Calibri"/>
          <w:sz w:val="18"/>
          <w:szCs w:val="18"/>
        </w:rPr>
      </w:pPr>
      <w:r>
        <w:rPr>
          <w:rFonts w:ascii="Calibri" w:eastAsia="Calibri" w:hAnsi="Calibri" w:cs="Calibri"/>
          <w:sz w:val="18"/>
          <w:szCs w:val="18"/>
        </w:rPr>
        <w:t>In 1858 Dudley Building Society became an independent mutual society and has been providing mortgages and savings accounts for the Black Country ever since. Dudley Building Society currently has six branches in the region three of which have recently undergone significant refurbishment to further improve the Society</w:t>
      </w:r>
      <w:r>
        <w:rPr>
          <w:rFonts w:ascii="Calibri" w:eastAsia="Calibri" w:hAnsi="Calibri" w:cs="Calibri"/>
          <w:sz w:val="18"/>
          <w:szCs w:val="18"/>
          <w:lang w:val="fr-FR"/>
        </w:rPr>
        <w:t>’</w:t>
      </w:r>
      <w:r>
        <w:rPr>
          <w:rFonts w:ascii="Calibri" w:eastAsia="Calibri" w:hAnsi="Calibri" w:cs="Calibri"/>
          <w:sz w:val="18"/>
          <w:szCs w:val="18"/>
        </w:rPr>
        <w:t>s high street presence. The Society currently has approximately 4,770 borrowing members and 31,063 investing members and £329million of assets.</w:t>
      </w:r>
    </w:p>
    <w:p w14:paraId="65705F90" w14:textId="77777777" w:rsidR="00FF6E42" w:rsidRDefault="00FF6E42" w:rsidP="00FF6E42">
      <w:pPr>
        <w:pStyle w:val="BodyA"/>
        <w:jc w:val="both"/>
        <w:rPr>
          <w:rFonts w:ascii="Calibri" w:eastAsia="Calibri" w:hAnsi="Calibri" w:cs="Calibri"/>
          <w:sz w:val="18"/>
          <w:szCs w:val="18"/>
        </w:rPr>
      </w:pPr>
      <w:r>
        <w:rPr>
          <w:rFonts w:ascii="Calibri" w:eastAsia="Calibri" w:hAnsi="Calibri" w:cs="Calibri"/>
          <w:sz w:val="18"/>
          <w:szCs w:val="18"/>
        </w:rPr>
        <w:t>The Society has announced a pleasing year end result, as of 31</w:t>
      </w:r>
      <w:r>
        <w:rPr>
          <w:rFonts w:ascii="Calibri" w:eastAsia="Calibri" w:hAnsi="Calibri" w:cs="Calibri"/>
          <w:sz w:val="18"/>
          <w:szCs w:val="18"/>
          <w:vertAlign w:val="superscript"/>
        </w:rPr>
        <w:t>st</w:t>
      </w:r>
      <w:r>
        <w:rPr>
          <w:rFonts w:ascii="Calibri" w:eastAsia="Calibri" w:hAnsi="Calibri" w:cs="Calibri"/>
          <w:sz w:val="18"/>
          <w:szCs w:val="18"/>
        </w:rPr>
        <w:t xml:space="preserve"> March 2015 of £887,000 pre tax profit, new lending of £52.2million and new savings inflow of £9.5million.</w:t>
      </w:r>
    </w:p>
    <w:p w14:paraId="230F041C" w14:textId="77777777" w:rsidR="00FF6E42" w:rsidRDefault="00FF6E42" w:rsidP="00FF6E42"/>
    <w:p w14:paraId="121D7620" w14:textId="77777777" w:rsidR="00FF6E42" w:rsidRPr="009B53A4" w:rsidRDefault="00FF6E42">
      <w:pPr>
        <w:rPr>
          <w:sz w:val="22"/>
          <w:szCs w:val="22"/>
        </w:rPr>
      </w:pPr>
    </w:p>
    <w:sectPr w:rsidR="00FF6E42" w:rsidRPr="009B53A4" w:rsidSect="00FE30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C9"/>
    <w:rsid w:val="003B13FE"/>
    <w:rsid w:val="004122E8"/>
    <w:rsid w:val="00596A40"/>
    <w:rsid w:val="005B6AFD"/>
    <w:rsid w:val="00615002"/>
    <w:rsid w:val="00781112"/>
    <w:rsid w:val="0093597F"/>
    <w:rsid w:val="009B53A4"/>
    <w:rsid w:val="00C73DFB"/>
    <w:rsid w:val="00CF3C05"/>
    <w:rsid w:val="00DB17C9"/>
    <w:rsid w:val="00DC489D"/>
    <w:rsid w:val="00FC4B1A"/>
    <w:rsid w:val="00FE30D5"/>
    <w:rsid w:val="00FF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15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A40"/>
    <w:pPr>
      <w:ind w:left="720"/>
      <w:contextualSpacing/>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F6E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6E42"/>
    <w:rPr>
      <w:rFonts w:ascii="Times New Roman" w:hAnsi="Times New Roman" w:cs="Times New Roman"/>
      <w:sz w:val="18"/>
      <w:szCs w:val="18"/>
      <w:lang w:val="en-GB"/>
    </w:rPr>
  </w:style>
  <w:style w:type="paragraph" w:customStyle="1" w:styleId="BodyA">
    <w:name w:val="Body A"/>
    <w:rsid w:val="00FF6E42"/>
    <w:pPr>
      <w:pBdr>
        <w:top w:val="nil"/>
        <w:left w:val="nil"/>
        <w:bottom w:val="nil"/>
        <w:right w:val="nil"/>
        <w:between w:val="nil"/>
        <w:bar w:val="nil"/>
      </w:pBdr>
    </w:pPr>
    <w:rPr>
      <w:rFonts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5903-B06B-457E-A173-E96577FB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DBS</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Fleetwood</dc:creator>
  <cp:keywords/>
  <dc:description/>
  <cp:lastModifiedBy>Caroline</cp:lastModifiedBy>
  <cp:revision>2</cp:revision>
  <dcterms:created xsi:type="dcterms:W3CDTF">2016-02-03T10:57:00Z</dcterms:created>
  <dcterms:modified xsi:type="dcterms:W3CDTF">2016-02-03T10:57:00Z</dcterms:modified>
</cp:coreProperties>
</file>